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/>
        <w:drawing>
          <wp:inline distT="0" distB="0" distL="0" distR="0">
            <wp:extent cx="6277610" cy="567055"/>
            <wp:effectExtent l="0" t="0" r="0" b="0"/>
            <wp:docPr id="1" name="Obraz28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8 kopia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2982" t="15701" r="-4" b="11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6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tj. </w:t>
      </w:r>
      <w:r>
        <w:rPr>
          <w:rFonts w:ascii="Arial" w:hAnsi="Arial"/>
          <w:b/>
          <w:bCs/>
          <w:sz w:val="18"/>
          <w:szCs w:val="18"/>
        </w:rPr>
        <w:t>Gminę Bielawa, pl. Wolności 1 , 58-260 Bielawa</w:t>
      </w:r>
      <w:r>
        <w:rPr>
          <w:rFonts w:ascii="Arial" w:hAnsi="Arial"/>
          <w:b/>
          <w:sz w:val="18"/>
          <w:szCs w:val="18"/>
        </w:rPr>
        <w:t>, na zadanie pn.: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Dostawa i montaż instalacji fotowoltaicznych na terenie Gminy Bielawa w ramach projektu pn. „Program rozwoju energetyki komunalnej na terenie Aglomeracji Dzierżoniowskiej”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2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color w:val="000000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>1. CENA ŁĄCZNA ZA CAŁOŚĆ ZADANIA (C) – 60 pkt (60%)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color w:val="000000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  <w:t xml:space="preserve">Cena netto za całość zadania…………………………………………………………….. zł 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color w:val="000000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  <w:t>(słownie: ……………………………………………………………………………………………..zł)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color w:val="000000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  <w:t xml:space="preserve">Podatek VAT ………………………...zł 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color w:val="000000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>CENA BRUTTO</w:t>
      </w: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  <w:t xml:space="preserve"> za całość zadania ………………………………………………………zł 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color w:val="000000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  <w:t>(słownie: ……………………………………………………………………………………………..zł)</w:t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</w:r>
    </w:p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rFonts w:ascii="Arial" w:hAnsi="Arial"/>
          <w:b/>
          <w:bCs/>
          <w:color w:val="000000"/>
          <w:sz w:val="18"/>
          <w:szCs w:val="18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 xml:space="preserve">w tym: </w:t>
      </w:r>
    </w:p>
    <w:tbl>
      <w:tblPr>
        <w:tblW w:w="9870" w:type="dxa"/>
        <w:jc w:val="left"/>
        <w:tblInd w:w="3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0"/>
        <w:gridCol w:w="4485"/>
        <w:gridCol w:w="1635"/>
        <w:gridCol w:w="1649"/>
        <w:gridCol w:w="1651"/>
      </w:tblGrid>
      <w:tr>
        <w:trPr>
          <w:trHeight w:val="450" w:hRule="atLeast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Lp.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ETAP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Cena netto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Podatek VAT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Cena brutto</w:t>
            </w:r>
          </w:p>
        </w:tc>
      </w:tr>
      <w:tr>
        <w:trPr>
          <w:trHeight w:val="230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2"/>
                <w:szCs w:val="1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color w:val="000000"/>
                <w:sz w:val="12"/>
                <w:szCs w:val="12"/>
                <w:u w:val="none"/>
              </w:rPr>
              <w:t>1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2"/>
                <w:szCs w:val="1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color w:val="000000"/>
                <w:sz w:val="12"/>
                <w:szCs w:val="12"/>
                <w:u w:val="none"/>
              </w:rPr>
              <w:t>2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2"/>
                <w:szCs w:val="1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color w:val="000000"/>
                <w:sz w:val="12"/>
                <w:szCs w:val="12"/>
                <w:u w:val="none"/>
              </w:rPr>
              <w:t>3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2"/>
                <w:szCs w:val="1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color w:val="000000"/>
                <w:sz w:val="12"/>
                <w:szCs w:val="12"/>
                <w:u w:val="none"/>
              </w:rPr>
              <w:t>4</w:t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i/>
                <w:i/>
                <w:iCs/>
                <w:color w:val="000000"/>
                <w:sz w:val="12"/>
                <w:szCs w:val="12"/>
                <w:u w:val="none"/>
              </w:rPr>
            </w:pPr>
            <w:r>
              <w:rPr>
                <w:rFonts w:eastAsia="Times New Roman" w:cs="Arial" w:ascii="Arial" w:hAnsi="Arial"/>
                <w:i/>
                <w:iCs/>
                <w:color w:val="000000"/>
                <w:sz w:val="12"/>
                <w:szCs w:val="12"/>
                <w:u w:val="none"/>
              </w:rPr>
              <w:t>5</w:t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1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5" w:leader="none"/>
              </w:tabs>
              <w:suppressAutoHyphens w:val="true"/>
              <w:bidi w:val="0"/>
              <w:spacing w:before="0" w:after="0"/>
              <w:ind w:hanging="0" w:left="0" w:right="0"/>
              <w:jc w:val="left"/>
              <w:textAlignment w:val="baseline"/>
              <w:rPr>
                <w:rFonts w:ascii="Arial" w:hAnsi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CENA ZA I ETAP ZADANIA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tj.: (opracowanie dokumentacji projektowej dla instalacji fotowoltaicznej zlokalizowanej na budynku sali gimnastycznej ul. Ludwika Waryńskiego 1, 58-260 Bielawa)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2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5" w:leader="none"/>
              </w:tabs>
              <w:suppressAutoHyphens w:val="true"/>
              <w:bidi w:val="0"/>
              <w:spacing w:before="0" w:after="0"/>
              <w:ind w:hanging="0" w:left="0" w:right="0"/>
              <w:jc w:val="left"/>
              <w:textAlignment w:val="baseline"/>
              <w:rPr>
                <w:rFonts w:ascii="Arial" w:hAnsi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CENA ZA II ETAP ZADANIA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tj.: (realizacja robót, uruchomienie i przekazanie do użytkowania instalacji fotowoltaicznej zlokalizowanej na budynku sali gimnastycznej ul. Ludwika Waryńskiego 1, 58-260 Bielawa)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3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CENA ZA III ETAP ZADANIA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tj.: (opracowanie dokumentacji projektowej dla instalacji fotowoltaicznej zlokalizowanej na działce nr geod. 819 obręb Północ – miejsce przyłączenia mocy budynek Urzędu Miejskiego ul. Piastowska 1, 58-260 Bielawa)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4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CENA ZA IV ETAP ZADANIA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tj.: (realizacja robót, uruchomienie i przekazanie do użytkowania instalacji fotowoltaicznej zlokalizowanej na działce nr geod. 819 obręb Północ – miejsce przyłączenia mocy budynek Urzędu Miejskiego ul. Piastowska 1, 58-260 Bielawa)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5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CENA ZA V ETAP ZADANIA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tj.: (opracowanie dokumentacji projektowej dla instalacji fotowoltaicznej (carport) zlokalizowanej na działce nr geod. 820 obręb Północ – miejsce przyłączenia mocy budynek Urzędu Miejskiego ul. Plac Wolności 1, 58-260 Bielawa)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6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hanging="0" w:left="0" w:right="0"/>
              <w:jc w:val="left"/>
              <w:textAlignment w:val="baseline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u w:val="none"/>
              </w:rPr>
              <w:t>CENA ZA VI ETAP ZADANIA</w:t>
            </w:r>
            <w:r>
              <w:rPr>
                <w:rFonts w:ascii="Arial" w:hAnsi="Arial"/>
                <w:color w:val="000000"/>
                <w:u w:val="none"/>
              </w:rPr>
              <w:t xml:space="preserve"> tj.: (realizacja robót, uruchomienie i przekazanie do użytkowania instalacji fotowoltaicznej (carport) zlokalizowanej na działce nr geod. 820 obręb Północ – miejsce przyłączenia mocy budynek Urzędu Miejskiego ul. Plac Wolności 1, 58-260 Bielawa)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405" w:hRule="atLeast"/>
        </w:trPr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</w:r>
          </w:p>
          <w:p>
            <w:pPr>
              <w:pStyle w:val="Zawartotabeliuser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SUMA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  <w:tc>
          <w:tcPr>
            <w:tcW w:w="16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</w:tr>
    </w:tbl>
    <w:p>
      <w:pPr>
        <w:pStyle w:val="Normal"/>
        <w:tabs>
          <w:tab w:val="clear" w:pos="708"/>
          <w:tab w:val="left" w:pos="285" w:leader="none"/>
        </w:tabs>
        <w:ind w:left="284"/>
        <w:jc w:val="left"/>
        <w:rPr>
          <w:b w:val="false"/>
          <w:bCs w:val="false"/>
          <w:sz w:val="18"/>
          <w:szCs w:val="18"/>
        </w:rPr>
      </w:pPr>
      <w:r>
        <w:rPr>
          <w:b w:val="false"/>
          <w:bCs w:val="false"/>
          <w:sz w:val="18"/>
          <w:szCs w:val="18"/>
        </w:rPr>
      </w:r>
    </w:p>
    <w:p>
      <w:pPr>
        <w:pStyle w:val="Normal"/>
        <w:tabs>
          <w:tab w:val="clear" w:pos="708"/>
          <w:tab w:val="left" w:pos="285" w:leader="none"/>
        </w:tabs>
        <w:ind w:left="284"/>
        <w:jc w:val="both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u w:val="none"/>
        </w:rPr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>2. Bezpieczeństwo eksploatacji magazynów energii (B) – 20 pkt (20%)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>Ocena będzie dokonywana w oparciu o deklarowane oraz potwierdzone w dokumentacji technicznej rozwiązania konstrukcyjne i systemowe zwiększające bezpieczeństwo pożarowe magazynów energii.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>a) Poziom podstawowy – 0 pkt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>Oferowany magazyn energii wyposażony wyłącznie w: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bidi w:val="0"/>
        <w:spacing w:before="0" w:after="0"/>
        <w:ind w:hanging="340" w:left="964" w:right="0"/>
        <w:jc w:val="left"/>
        <w:textAlignment w:val="baseline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>zawór dekompresyjny;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bidi w:val="0"/>
        <w:spacing w:before="0" w:after="0"/>
        <w:ind w:hanging="340" w:left="964" w:right="0"/>
        <w:jc w:val="left"/>
        <w:textAlignment w:val="baseline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>pomiar temperatury modułu bateryjnego,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bidi w:val="0"/>
        <w:spacing w:before="0" w:after="0"/>
        <w:ind w:hanging="340" w:left="964" w:right="0"/>
        <w:jc w:val="left"/>
        <w:textAlignment w:val="baseline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>gaśnica aerozolowa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 xml:space="preserve">Wskazany zakres stanowi minimalny standard i nie podlega dodatkowej punktacji. 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>b) Poziom rozszerzony – maksymalnie 20 pkt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b/>
          <w:bCs/>
          <w:color w:val="000000"/>
          <w:sz w:val="18"/>
          <w:szCs w:val="18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color w:val="000000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  <w:t>Punkty przyznawane będą za zastosowanie następujących rozwiązań (punktacja sumuje się):</w:t>
      </w:r>
    </w:p>
    <w:p>
      <w:pPr>
        <w:pStyle w:val="Normal"/>
        <w:numPr>
          <w:ilvl w:val="0"/>
          <w:numId w:val="0"/>
        </w:numPr>
        <w:ind w:hanging="0" w:left="284"/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</w:pPr>
      <w:r>
        <w:rPr>
          <w:rFonts w:ascii="Arial" w:hAnsi="Arial"/>
          <w:b w:val="false"/>
          <w:bCs w:val="false"/>
          <w:color w:val="000000"/>
          <w:sz w:val="18"/>
          <w:szCs w:val="18"/>
          <w:u w:val="non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"/>
        <w:gridCol w:w="5301"/>
        <w:gridCol w:w="2339"/>
        <w:gridCol w:w="2350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L.p.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Rodzaj rozwiązania konstrukcyjnego i systemowego zwiększający bezpieczeństwo pożarowe magazynów energii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Wykonawca zastosuje rozwiązanie konstrukcyjne i systemowe</w:t>
            </w:r>
          </w:p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(TAK)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Wykonawca nie zastosuje rozwiązania konstrukcyjnego i systemowe</w:t>
            </w:r>
          </w:p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(NIE)</w:t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ascii="Arial" w:hAnsi="Arial"/>
                <w:i/>
                <w:iCs/>
                <w:color w:val="000000"/>
                <w:sz w:val="16"/>
                <w:szCs w:val="16"/>
                <w:u w:val="none"/>
              </w:rPr>
              <w:t>1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ascii="Arial" w:hAnsi="Arial"/>
                <w:i/>
                <w:iCs/>
                <w:color w:val="000000"/>
                <w:sz w:val="16"/>
                <w:szCs w:val="16"/>
                <w:u w:val="none"/>
              </w:rPr>
              <w:t>2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ascii="Arial" w:hAnsi="Arial"/>
                <w:i/>
                <w:iCs/>
                <w:color w:val="000000"/>
                <w:sz w:val="16"/>
                <w:szCs w:val="16"/>
                <w:u w:val="none"/>
              </w:rPr>
              <w:t>3</w:t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i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ascii="Arial" w:hAnsi="Arial"/>
                <w:i/>
                <w:iCs/>
                <w:color w:val="000000"/>
                <w:sz w:val="16"/>
                <w:szCs w:val="16"/>
                <w:u w:val="none"/>
              </w:rPr>
              <w:t>4</w:t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1.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 xml:space="preserve">Pomiar i kontrola temperatury każdego ogniwa bateryjnego (monitoring na poziomie cell-level) –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2.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 xml:space="preserve">Przekładki izolacyjne pomiędzy ogniwami odporne na wysokie temperatury (ograniczające propagację zjawiska thermal runaway) –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3.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 xml:space="preserve">Ochrona przed przeładowaniem oraz ochrona przed głębokim rozładowaniem realizowana indywidualnie na poziomie każdego ogniwa bateryjnego –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4.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 xml:space="preserve">Aktywny system wykrywania i wczesnego przeciwdziałanie zjawisku niekontrolowanego wzrostu temperatury (np. wielopoziomowy BMS z algorytmami predykcyjnymi) –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u w:val="none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0" w:leader="none"/>
        </w:tabs>
        <w:ind w:hanging="0" w:left="0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 xml:space="preserve">Oferent zaznacza </w:t>
      </w:r>
      <w:r>
        <w:rPr>
          <w:rFonts w:ascii="Arial" w:hAnsi="Arial"/>
          <w:b/>
          <w:bCs/>
          <w:color w:val="000000"/>
          <w:sz w:val="18"/>
          <w:szCs w:val="18"/>
          <w:u w:val="none"/>
        </w:rPr>
        <w:t xml:space="preserve">X </w:t>
      </w:r>
      <w:r>
        <w:rPr>
          <w:rFonts w:ascii="Arial" w:hAnsi="Arial"/>
          <w:color w:val="000000"/>
          <w:sz w:val="18"/>
          <w:szCs w:val="18"/>
          <w:u w:val="none"/>
        </w:rPr>
        <w:t>w odpowiedniej kolumnie 3 lub 4</w:t>
      </w:r>
    </w:p>
    <w:p>
      <w:pPr>
        <w:pStyle w:val="Normal"/>
        <w:rPr>
          <w:rFonts w:ascii="Arial" w:hAnsi="Arial"/>
          <w:b/>
          <w:bCs/>
          <w:color w:val="000000"/>
          <w:u w:val="none"/>
        </w:rPr>
      </w:pPr>
      <w:r>
        <w:rPr>
          <w:rFonts w:ascii="Arial" w:hAnsi="Arial"/>
          <w:b/>
          <w:bCs/>
          <w:color w:val="000000"/>
          <w:u w:val="none"/>
        </w:rPr>
      </w:r>
    </w:p>
    <w:p>
      <w:pPr>
        <w:pStyle w:val="Normal"/>
        <w:rPr>
          <w:rFonts w:ascii="Arial" w:hAnsi="Arial"/>
          <w:color w:val="000000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  <w:t>3. Dodatkowe korzyści eksploatacyjne systemów hybrydowych (D) – 20 pkt (20%)</w:t>
      </w:r>
    </w:p>
    <w:p>
      <w:pPr>
        <w:pStyle w:val="Normal"/>
        <w:rPr>
          <w:rFonts w:ascii="Arial" w:hAnsi="Arial"/>
          <w:b/>
          <w:bCs/>
          <w:color w:val="000000"/>
          <w:sz w:val="18"/>
          <w:szCs w:val="18"/>
          <w:u w:val="none"/>
        </w:rPr>
      </w:pPr>
      <w:r>
        <w:rPr>
          <w:rFonts w:ascii="Arial" w:hAnsi="Arial"/>
          <w:b/>
          <w:bCs/>
          <w:color w:val="000000"/>
          <w:sz w:val="18"/>
          <w:szCs w:val="18"/>
          <w:u w:val="none"/>
        </w:rPr>
      </w:r>
    </w:p>
    <w:p>
      <w:pPr>
        <w:pStyle w:val="Normal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 xml:space="preserve">Ocena dotyczy funkcjonalności systemu zarządzania energią (EMS) oraz możliwości technicznych zwiększających efektywność ekonomiczną i bezpieczeństwo energetyczne obiektu. </w:t>
      </w:r>
    </w:p>
    <w:p>
      <w:pPr>
        <w:pStyle w:val="Normal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</w:r>
    </w:p>
    <w:p>
      <w:pPr>
        <w:pStyle w:val="Normal"/>
        <w:rPr>
          <w:rFonts w:ascii="Arial" w:hAnsi="Arial"/>
          <w:color w:val="000000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  <w:t>Punkty przyznawane będą w sposób sumaryczny za następujące funkcjonalności:</w:t>
      </w:r>
    </w:p>
    <w:p>
      <w:pPr>
        <w:pStyle w:val="Normal"/>
        <w:rPr>
          <w:rFonts w:ascii="Arial" w:hAnsi="Arial"/>
          <w:color w:val="000000"/>
          <w:sz w:val="18"/>
          <w:szCs w:val="18"/>
          <w:u w:val="none"/>
        </w:rPr>
      </w:pPr>
      <w:r>
        <w:rPr>
          <w:rFonts w:ascii="Arial" w:hAnsi="Arial"/>
          <w:color w:val="000000"/>
          <w:sz w:val="18"/>
          <w:szCs w:val="18"/>
          <w:u w:val="non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"/>
        <w:gridCol w:w="5301"/>
        <w:gridCol w:w="2339"/>
        <w:gridCol w:w="2350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4</w:t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L.p.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Rodzaj funkcjonalności systemu zarządzania energią (EMS) oraz możliwości techniczne zwiększające efektywność ekonomiczną i bezpieczeństwo energetyczne obiektu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Wykonawca zastosuje funkcjonalność</w:t>
            </w:r>
          </w:p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(TAK)</w:t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Wykonawca nie zastosuje funkcjonalności</w:t>
            </w:r>
          </w:p>
          <w:p>
            <w:pPr>
              <w:pStyle w:val="Zawartotabeli"/>
              <w:jc w:val="center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(NIE)</w:t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1.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Ograniczenie opłat za energię elektryczną poprzez dynamiczną kompensację mocy biernej w punkcie przyłączeniowym  -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 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2.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>Możliwości zwiększenia bezpieczeństwa energetycznego poprzez przyłączenie dodatkowego źródła energii (np. agregatu prądotwórczego) objętego zintegrowanym systemem zarządzania energią (EMS) i wszystkimi trybami pracy systemu –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 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3.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 xml:space="preserve">Możliwość rozbudowy magazynu energii w przyszłości o dodatkowe moduły bateryjne (do minimalnej pojemności 50 kWh) bez konieczności stosowania dodatkowych sterowników; nowe moduły nie mogą być ograniczone obniżoną sprawnością wynikającą z pracy modułów wcześniej zainstalowanych –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u w:val="none"/>
              </w:rPr>
              <w:t>4.</w:t>
            </w:r>
          </w:p>
        </w:tc>
        <w:tc>
          <w:tcPr>
            <w:tcW w:w="53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color w:val="00000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  <w:t xml:space="preserve">Możliwość równoczesnej optymalizacji autokonsumpcji oraz handlu energią w oparciu o ceny dynamiczne z RDN TGE (w ramach jednego zintegrowanego systemu EMS) –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>5 pkt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  <w:u w:val="none"/>
              </w:rPr>
            </w:r>
          </w:p>
        </w:tc>
      </w:tr>
    </w:tbl>
    <w:p>
      <w:pPr>
        <w:pStyle w:val="Normal"/>
        <w:rPr/>
      </w:pPr>
      <w:r>
        <w:rPr>
          <w:rFonts w:ascii="Arial" w:hAnsi="Arial"/>
          <w:color w:val="000000"/>
          <w:u w:val="none"/>
        </w:rPr>
        <w:t xml:space="preserve">Oferent zaznacza </w:t>
      </w:r>
      <w:r>
        <w:rPr>
          <w:rFonts w:ascii="Arial" w:hAnsi="Arial"/>
          <w:b/>
          <w:bCs/>
          <w:color w:val="000000"/>
          <w:u w:val="none"/>
        </w:rPr>
        <w:t xml:space="preserve">X </w:t>
      </w:r>
      <w:r>
        <w:rPr>
          <w:rFonts w:ascii="Arial" w:hAnsi="Arial"/>
          <w:color w:val="000000"/>
          <w:u w:val="none"/>
        </w:rPr>
        <w:t xml:space="preserve">w odpowiedniej kolumnie 3 lub 4  </w:t>
      </w:r>
    </w:p>
    <w:p>
      <w:pPr>
        <w:pStyle w:val="ListParagraph"/>
        <w:numPr>
          <w:ilvl w:val="0"/>
          <w:numId w:val="0"/>
        </w:numPr>
        <w:spacing w:before="57" w:after="57"/>
        <w:ind w:hanging="0" w:left="284"/>
        <w:contextualSpacing/>
        <w:rPr>
          <w:rFonts w:ascii="Arial" w:hAnsi="Arial" w:eastAsia="Arial Unicode MS" w:cs="Arial"/>
          <w:b/>
          <w:bCs/>
          <w:color w:val="000000"/>
          <w:sz w:val="18"/>
          <w:szCs w:val="18"/>
        </w:rPr>
      </w:pP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</w:r>
    </w:p>
    <w:p>
      <w:pPr>
        <w:pStyle w:val="ListParagraph"/>
        <w:numPr>
          <w:ilvl w:val="0"/>
          <w:numId w:val="13"/>
        </w:numPr>
        <w:spacing w:before="57" w:after="57"/>
        <w:ind w:hanging="284" w:left="284"/>
        <w:contextualSpacing/>
        <w:rPr/>
      </w:pPr>
      <w:r>
        <w:rPr>
          <w:rFonts w:eastAsia="Arial Unicode MS" w:cs="Arial" w:ascii="Arial" w:hAnsi="Arial"/>
          <w:b/>
          <w:bCs/>
          <w:color w:val="C9211E"/>
          <w:sz w:val="18"/>
          <w:szCs w:val="18"/>
        </w:rPr>
        <w:t>TERMIN WYKONANIA</w:t>
      </w: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: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 xml:space="preserve">  180 dni od dnia podpisania umowy. </w:t>
      </w:r>
    </w:p>
    <w:p>
      <w:pPr>
        <w:pStyle w:val="ListParagraph"/>
        <w:numPr>
          <w:ilvl w:val="0"/>
          <w:numId w:val="0"/>
        </w:numPr>
        <w:spacing w:before="57" w:after="57"/>
        <w:ind w:hanging="0" w:left="284"/>
        <w:contextualSpacing/>
        <w:rPr>
          <w:rFonts w:ascii="Arial" w:hAnsi="Arial" w:eastAsia="Arial Unicode MS" w:cs="Arial"/>
          <w:b/>
          <w:bCs/>
          <w:color w:val="000000"/>
          <w:sz w:val="18"/>
          <w:szCs w:val="18"/>
        </w:rPr>
      </w:pP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</w:r>
    </w:p>
    <w:p>
      <w:pPr>
        <w:pStyle w:val="ListParagraph"/>
        <w:numPr>
          <w:ilvl w:val="0"/>
          <w:numId w:val="14"/>
        </w:numPr>
        <w:ind w:hanging="284" w:left="284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5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>podana wyżej cena zawiera wszelkie koszty niezbędne do zrealizowania zamówienia. Cena uwzględnia wszystkie wymagania SWZ wraz  z załącznikami oraz obejmuje wszelkie koszty, jakie poniesie Wykonawca z tytułu należytej  oraz zgodnej z obowiązującymi przepisami prawa realizacji przedmiotu zamówienia.</w:t>
      </w:r>
    </w:p>
    <w:p>
      <w:pPr>
        <w:pStyle w:val="Standard"/>
        <w:numPr>
          <w:ilvl w:val="0"/>
          <w:numId w:val="16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7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8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9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(t.j. Dz. U. z 2025 r. poz. 1480 z późn. zm.), 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20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2025 r. poz. 775 z późn. zm.)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2025 r. poz. 775 z późn. zm.)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11.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566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3"/>
      <w:headerReference w:type="default" r:id="rId4"/>
      <w:headerReference w:type="first" r:id="rId5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  <w:lvlOverride w:ilvl="0">
      <w:startOverride w:val="1"/>
    </w:lvlOverride>
  </w:num>
  <w:num w:numId="1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479" w:hanging="360"/>
        </w:pPr>
        <w:rPr>
          <w:sz w:val="18"/>
          <w:rFonts w:ascii="Verdana" w:hAnsi="Verdana"/>
        </w:rPr>
      </w:lvl>
    </w:lvlOverride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479" w:hanging="360"/>
        </w:pPr>
        <w:rPr>
          <w:sz w:val="18"/>
          <w:rFonts w:ascii="Verdana" w:hAnsi="Verdana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Application>LibreOffice/25.8.1.1$Windows_X86_64 LibreOffice_project/54047653041915e595ad4e45cccea684809c77b5</Application>
  <AppVersion>15.0000</AppVersion>
  <Pages>4</Pages>
  <Words>1208</Words>
  <Characters>8279</Characters>
  <CharactersWithSpaces>9373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2024-04-25T06:50:00Z</dcterms:created>
  <dc:creator>raja</dc:creator>
  <dc:description/>
  <dc:language>pl-PL</dc:language>
  <cp:lastModifiedBy/>
  <cp:lastPrinted>2025-11-17T14:30:19Z</cp:lastPrinted>
  <dcterms:modified xsi:type="dcterms:W3CDTF">2026-04-24T12:23:06Z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